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7B2231"/>
          <w:sz w:val="24"/>
        </w:rPr>
        <w:t>R|FONSECA</w:t>
      </w:r>
    </w:p>
    <w:p>
      <w:pPr>
        <w:spacing w:before="1160"/>
      </w:pPr>
      <w:r>
        <w:rPr>
          <w:b/>
          <w:color w:val="7B2231"/>
          <w:sz w:val="26"/>
        </w:rPr>
        <w:t>OLYMPUS</w:t>
      </w:r>
    </w:p>
    <w:p>
      <w:pPr>
        <w:pStyle w:val="Title"/>
      </w:pPr>
      <w:r>
        <w:t>Relatório Técnico de Mensuração e</w:t>
        <w:br/>
        <w:t>Asseguração Gerencial</w:t>
      </w:r>
    </w:p>
    <w:p>
      <w:pPr>
        <w:spacing w:before="280"/>
      </w:pPr>
      <w:r>
        <w:rPr>
          <w:color w:val="5B5E65"/>
          <w:sz w:val="28"/>
        </w:rPr>
        <w:t>Valor econômico, benchmark externo, custo direto, critérios de reconhecimento e controles de confiabilidade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2EFF0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80"/>
            </w:pPr>
            <w:r>
              <w:rPr>
                <w:b/>
                <w:color w:val="7B2231"/>
                <w:sz w:val="21"/>
              </w:rPr>
              <w:t>DATA-BASE</w:t>
            </w:r>
          </w:p>
          <w:p>
            <w:pPr>
              <w:spacing w:after="0"/>
            </w:pPr>
            <w:r>
              <w:rPr>
                <w:sz w:val="19"/>
              </w:rPr>
              <w:t>30 de setembro de 2026 | Escopo: Olympus e desenvolvimentos tecnológicos internos relacionados</w:t>
            </w:r>
          </w:p>
        </w:tc>
      </w:tr>
    </w:tbl>
    <w:p>
      <w:pPr>
        <w:pStyle w:val="SmallNote"/>
      </w:pPr>
    </w:p>
    <w:p>
      <w:pPr>
        <w:spacing w:before="560"/>
      </w:pPr>
      <w:r>
        <w:rPr>
          <w:b/>
          <w:color w:val="7B2231"/>
          <w:sz w:val="22"/>
        </w:rPr>
        <w:t>Objetivo</w:t>
      </w:r>
    </w:p>
    <w:p>
      <w:r>
        <w:t>Registrar uma metodologia reproduzível e prudencial para mensurar o valor econômico do Olympus, distinguir custo real de benchmark de mercado e permitir que os principais indicadores sejam recalculados e auditados por terceiros a partir das mesmas premissas.</w:t>
      </w:r>
    </w:p>
    <w:p/>
    <w:p/>
    <w:p/>
    <w:p/>
    <w:p/>
    <w:p/>
    <w:p>
      <w:pPr>
        <w:pStyle w:val="SmallNote"/>
      </w:pPr>
      <w:r>
        <w:t>Documento interno de gestão. Não constitui auditoria independente, valuation contábil do software ou garantia de economia futura.</w:t>
      </w:r>
    </w:p>
    <w:p>
      <w:r>
        <w:br w:type="page"/>
      </w:r>
    </w:p>
    <w:p>
      <w:pPr>
        <w:pStyle w:val="Heading1"/>
      </w:pPr>
      <w:r>
        <w:t>1. Sumário executivo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2EFF0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80"/>
            </w:pPr>
            <w:r>
              <w:rPr>
                <w:b/>
                <w:color w:val="7B2231"/>
                <w:sz w:val="21"/>
              </w:rPr>
              <w:t>LEITURA CENTRAL</w:t>
            </w:r>
          </w:p>
          <w:p>
            <w:pPr>
              <w:spacing w:after="0"/>
            </w:pPr>
            <w:r>
              <w:rPr>
                <w:sz w:val="19"/>
              </w:rPr>
              <w:t>O Olympus opera hoje com custo tecnológico direto conhecido de R$ 225,00/mês (R$ 2.700,00/ano). As oito frentes avaliadas representam benchmark modular bruto de aproximadamente R$ 11.612,87/mês ou R$ 139.354,44/ano em softwares externos comparáveis. A diferença equivalente, antes do custo de pessoas, é de R$ 136.654,44/ano.</w:t>
            </w:r>
          </w:p>
        </w:tc>
      </w:tr>
    </w:tbl>
    <w:p>
      <w:pPr>
        <w:pStyle w:val="SmallNote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345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244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Valor</w:t>
            </w:r>
          </w:p>
        </w:tc>
        <w:tc>
          <w:tcPr>
            <w:tcW w:type="dxa" w:w="432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Classificação correta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Custo tecnológico direto conhecido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R$ 225,00/mês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Dado real: VPS + API IA + custo recorrente adicional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Benchmark modular bruto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R$ 11.612,87/mês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Estimativa externa comparável; não é saving contábil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Benchmark modular bruto anual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R$ 139.354,44/ano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Run-rate externo equivalente das 8 frentes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Valor econômico líquido equivalente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R$ 136.654,44/ano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Benchmark bruto menos custo tecnológico direto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Índice de eficiência tecnológica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51,6x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Benchmark anual ÷ custo tecnológico anual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Valor externo equivalente acumulado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R$ 29.485,44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Somente módulos com data exata de go-live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Custo direto por colaborador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R$ 5,92/mês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R$ 225 ÷ 38</w:t>
            </w:r>
          </w:p>
        </w:tc>
      </w:tr>
      <w:tr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Benchmark equivalente por colaborador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R$ 305,60/mês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Benchmark mensal ÷ 38</w:t>
            </w:r>
          </w:p>
        </w:tc>
      </w:tr>
    </w:tbl>
    <w:p>
      <w:pPr>
        <w:pStyle w:val="SmallNote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6F0E4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80"/>
            </w:pPr>
            <w:r>
              <w:rPr>
                <w:b/>
                <w:color w:val="7A5A12"/>
                <w:sz w:val="21"/>
              </w:rPr>
              <w:t>LIMITAÇÃO MATERIAL</w:t>
            </w:r>
          </w:p>
          <w:p>
            <w:pPr>
              <w:spacing w:after="0"/>
            </w:pPr>
            <w:r>
              <w:rPr>
                <w:sz w:val="19"/>
              </w:rPr>
              <w:t>O benchmark de R$ 139,4 mil/ano é modular e bruto. Antes de ser denominado cost avoidance consolidado, deve passar pelo teste de arquitetura externa racional para eliminar sobreposições entre suites que possam cobrir mais de uma função.</w:t>
            </w:r>
          </w:p>
        </w:tc>
      </w:tr>
    </w:tbl>
    <w:p>
      <w:pPr>
        <w:pStyle w:val="SmallNote"/>
      </w:pPr>
    </w:p>
    <w:p>
      <w:pPr>
        <w:pStyle w:val="Heading1"/>
      </w:pPr>
      <w:r>
        <w:t>2. Contexto operacional e histórico</w:t>
      </w:r>
    </w:p>
    <w:p>
      <w:r>
        <w:t>O Olympus começou a ser desenvolvido em janeiro de 2026. O núcleo responsável pelo desenvolvimento e melhoria contínua é composto por um Analista Pleno de TI e uma Especialista de Projetos e Melhoria Contínua, atendendo uma estrutura de 38 colaboradores.</w:t>
      </w:r>
    </w:p>
    <w:p>
      <w:r>
        <w:t>Antes da transformação, grande parte das rotinas era manual, mantida em planilhas ou inexistente como processo institucional. Dessa forma, o Olympus cria valor em mais de uma dimensão: custo tecnológico evitável, capacidade operacional, criação de processos, governança, segurança e qualidade de dados.</w:t>
      </w:r>
    </w:p>
    <w:p>
      <w:r>
        <w:t>O Data Room antecede o Olympus: entrou em operação em 17/09/2025 como desenvolvimento interno independente e será integrado ao ecossistema Olympus a partir de outubro de 2026. Seu valor econômico é considerado desde o go-live original, e não apenas a partir da integração.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73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Frente</w:t>
            </w:r>
          </w:p>
        </w:tc>
        <w:tc>
          <w:tcPr>
            <w:tcW w:type="dxa" w:w="2592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Go-live conhecido</w:t>
            </w:r>
          </w:p>
        </w:tc>
        <w:tc>
          <w:tcPr>
            <w:tcW w:type="dxa" w:w="489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Licenças / população considerada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R|Tickets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24/07/2026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2 tratadores; 38 solicitantes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Data Room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17/09/2025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38 colaboradores / ambiente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Base de Clientes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03/09/2026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30 simples; 8 admins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Gestão de Acesso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07/05/2026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36 simples; 2 admins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Vaultwarden / Cofre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09/2026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38 colaboradores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Gestão de Pessoas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n/a - já em produção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38 colaboradores gerenciados; 2 admins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Projetos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n/a - já em produção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34 simples; 4 admins</w:t>
            </w:r>
          </w:p>
        </w:tc>
      </w:tr>
      <w:tr>
        <w:tc>
          <w:tcPr>
            <w:tcW w:type="dxa" w:w="27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Gestão do Conhecimento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n/a - já em produção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36 simples; 2 admins</w:t>
            </w:r>
          </w:p>
        </w:tc>
      </w:tr>
    </w:tbl>
    <w:p>
      <w:pPr>
        <w:pStyle w:val="SmallNote"/>
      </w:pPr>
    </w:p>
    <w:p>
      <w:pPr>
        <w:pStyle w:val="Heading1"/>
      </w:pPr>
      <w:r>
        <w:t>3. Classificação dos benefícios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44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Categoria</w:t>
            </w:r>
          </w:p>
        </w:tc>
        <w:tc>
          <w:tcPr>
            <w:tcW w:type="dxa" w:w="460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Definição</w:t>
            </w:r>
          </w:p>
        </w:tc>
        <w:tc>
          <w:tcPr>
            <w:tcW w:type="dxa" w:w="3312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Tratamento nesta versão</w:t>
            </w:r>
          </w:p>
        </w:tc>
      </w:tr>
      <w:tr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Saving realizado</w:t>
            </w:r>
          </w:p>
        </w:tc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Despesa existente efetivamente eliminada ou reduzida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Não reconhecido sem evidência contábil/contratual</w:t>
            </w:r>
          </w:p>
        </w:tc>
      </w:tr>
      <w:tr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Cost avoidance comprovado</w:t>
            </w:r>
          </w:p>
        </w:tc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Contratação/orçamento objetivamente evitado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Reconhecer somente com evidência de necessidade/decisão</w:t>
            </w:r>
          </w:p>
        </w:tc>
      </w:tr>
      <w:tr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Benchmark externo equivalente</w:t>
            </w:r>
          </w:p>
        </w:tc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Preço de mercado para capacidade aproximadamente equivalente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Principal base quantitativa atual</w:t>
            </w:r>
          </w:p>
        </w:tc>
      </w:tr>
      <w:tr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Capacidade liberada</w:t>
            </w:r>
          </w:p>
        </w:tc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Horas reduzidas em atividades manuais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Medir por baseline antes/depois; não monetizada ainda</w:t>
            </w:r>
          </w:p>
        </w:tc>
      </w:tr>
      <w:tr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Capability creation</w:t>
            </w:r>
          </w:p>
        </w:tc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Processos/controles que antes não existiam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Valor qualitativo até existir métrica própria</w:t>
            </w:r>
          </w:p>
        </w:tc>
      </w:tr>
      <w:tr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Risco mitigado</w:t>
            </w:r>
          </w:p>
        </w:tc>
        <w:tc>
          <w:tcPr>
            <w:tcW w:type="dxa" w:w="46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Exposição operacional/segurança reduzida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Não monetizado sem base técnica e evidência</w:t>
            </w:r>
          </w:p>
        </w:tc>
      </w:tr>
    </w:tbl>
    <w:p>
      <w:pPr>
        <w:pStyle w:val="SmallNote"/>
      </w:pPr>
    </w:p>
    <w:p>
      <w:pPr>
        <w:pStyle w:val="Heading1"/>
      </w:pPr>
      <w:r>
        <w:t>4. Hierarquia de evidências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100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Nível</w:t>
            </w:r>
          </w:p>
        </w:tc>
        <w:tc>
          <w:tcPr>
            <w:tcW w:type="dxa" w:w="244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Natureza</w:t>
            </w:r>
          </w:p>
        </w:tc>
        <w:tc>
          <w:tcPr>
            <w:tcW w:type="dxa" w:w="360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Exemplos</w:t>
            </w:r>
          </w:p>
        </w:tc>
        <w:tc>
          <w:tcPr>
            <w:tcW w:type="dxa" w:w="316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Regra</w:t>
            </w:r>
          </w:p>
        </w:tc>
      </w:tr>
      <w:tr>
        <w:tc>
          <w:tcPr>
            <w:tcW w:type="dxa" w:w="10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A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Dado interno observado</w:t>
            </w:r>
          </w:p>
        </w:tc>
        <w:tc>
          <w:tcPr>
            <w:tcW w:type="dxa" w:w="36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38 colaboradores; custos de VPS/API; go-live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Deve possuir documento, fatura, log ou registro interno</w:t>
            </w:r>
          </w:p>
        </w:tc>
      </w:tr>
      <w:tr>
        <w:tc>
          <w:tcPr>
            <w:tcW w:type="dxa" w:w="10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Evidência externa</w:t>
            </w:r>
          </w:p>
        </w:tc>
        <w:tc>
          <w:tcPr>
            <w:tcW w:type="dxa" w:w="36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Preço público de fornecedor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URL oficial + data de consulta</w:t>
            </w:r>
          </w:p>
        </w:tc>
      </w:tr>
      <w:tr>
        <w:tc>
          <w:tcPr>
            <w:tcW w:type="dxa" w:w="10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Dado calculado</w:t>
            </w:r>
          </w:p>
        </w:tc>
        <w:tc>
          <w:tcPr>
            <w:tcW w:type="dxa" w:w="36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média, conversão cambial, anualização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Fórmula versionada e reexecutável</w:t>
            </w:r>
          </w:p>
        </w:tc>
      </w:tr>
      <w:tr>
        <w:tc>
          <w:tcPr>
            <w:tcW w:type="dxa" w:w="100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D</w:t>
            </w:r>
          </w:p>
        </w:tc>
        <w:tc>
          <w:tcPr>
            <w:tcW w:type="dxa" w:w="244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Estimativa não reconhecida</w:t>
            </w:r>
          </w:p>
        </w:tc>
        <w:tc>
          <w:tcPr>
            <w:tcW w:type="dxa" w:w="36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horas poupadas, risco, headcount evitado</w:t>
            </w:r>
          </w:p>
        </w:tc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Fica fora dos números financeiros até validação</w:t>
            </w:r>
          </w:p>
        </w:tc>
      </w:tr>
    </w:tbl>
    <w:p>
      <w:pPr>
        <w:pStyle w:val="SmallNote"/>
      </w:pPr>
    </w:p>
    <w:p>
      <w:pPr>
        <w:pStyle w:val="Heading1"/>
      </w:pPr>
      <w:r>
        <w:t>5. Custo tecnológico direto conhecido do Olympus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3744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Componente</w:t>
            </w:r>
          </w:p>
        </w:tc>
        <w:tc>
          <w:tcPr>
            <w:tcW w:type="dxa" w:w="172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Mensal</w:t>
            </w:r>
          </w:p>
        </w:tc>
        <w:tc>
          <w:tcPr>
            <w:tcW w:type="dxa" w:w="201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Anual</w:t>
            </w:r>
          </w:p>
        </w:tc>
        <w:tc>
          <w:tcPr>
            <w:tcW w:type="dxa" w:w="345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Evidência esperada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VPS</w:t>
            </w:r>
          </w:p>
        </w:tc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R$ 65,00</w:t>
            </w:r>
          </w:p>
        </w:tc>
        <w:tc>
          <w:tcPr>
            <w:tcW w:type="dxa" w:w="20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R$ 780,00</w:t>
            </w:r>
          </w:p>
        </w:tc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Fatura / contrato / comprovante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API de IA</w:t>
            </w:r>
          </w:p>
        </w:tc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R$ 50,00</w:t>
            </w:r>
          </w:p>
        </w:tc>
        <w:tc>
          <w:tcPr>
            <w:tcW w:type="dxa" w:w="20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R$ 600,00</w:t>
            </w:r>
          </w:p>
        </w:tc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Fatura / consumo / comprovante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Custo recorrente adicional informado</w:t>
            </w:r>
          </w:p>
        </w:tc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R$ 110,00</w:t>
            </w:r>
          </w:p>
        </w:tc>
        <w:tc>
          <w:tcPr>
            <w:tcW w:type="dxa" w:w="20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R$ 1.320,00</w:t>
            </w:r>
          </w:p>
        </w:tc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Fatura / contrato / comprovante</w:t>
            </w:r>
          </w:p>
        </w:tc>
      </w:tr>
      <w:tr>
        <w:tc>
          <w:tcPr>
            <w:tcW w:type="dxa" w:w="374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TOTAL</w:t>
            </w:r>
          </w:p>
        </w:tc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R$ 225,00</w:t>
            </w:r>
          </w:p>
        </w:tc>
        <w:tc>
          <w:tcPr>
            <w:tcW w:type="dxa" w:w="201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R$ 2.700,00</w:t>
            </w:r>
          </w:p>
        </w:tc>
        <w:tc>
          <w:tcPr>
            <w:tcW w:type="dxa" w:w="34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Conciliação mensal dos três componentes</w:t>
            </w:r>
          </w:p>
        </w:tc>
      </w:tr>
    </w:tbl>
    <w:p>
      <w:pPr>
        <w:pStyle w:val="SmallNote"/>
      </w:pPr>
    </w:p>
    <w:p>
      <w:r>
        <w:t>Este é o TCO tecnológico direto conhecido. Não inclui salários ou encargos do Analista Pleno de TI e da Especialista de Projetos e Melhoria Contínua. Para um TCO econômico completo, deverá ser mensurado o percentual efetivo de dedicação desses profissionais ao Olympus e às demais atividades do PTD.</w:t>
      </w:r>
    </w:p>
    <w:p>
      <w:pPr>
        <w:pStyle w:val="Heading1"/>
      </w:pPr>
      <w:r>
        <w:t>6. Metodologia do benchmark externo</w:t>
      </w:r>
    </w:p>
    <w:p>
      <w:pPr>
        <w:pStyle w:val="ListBullet"/>
        <w:spacing w:after="60"/>
      </w:pPr>
      <w:r>
        <w:t>Utilizar no mínimo dois fornecedores, preferencialmente três, por categoria funcional.</w:t>
      </w:r>
    </w:p>
    <w:p>
      <w:pPr>
        <w:pStyle w:val="ListBullet"/>
        <w:spacing w:after="60"/>
      </w:pPr>
      <w:r>
        <w:t>Selecionar planos que entreguem capacidade materialmente comparável, evitando planos enterprise sem necessidade.</w:t>
      </w:r>
    </w:p>
    <w:p>
      <w:pPr>
        <w:pStyle w:val="ListBullet"/>
        <w:spacing w:after="60"/>
      </w:pPr>
      <w:r>
        <w:t>Usar preço público verificável e registrar a data da consulta.</w:t>
      </w:r>
    </w:p>
    <w:p>
      <w:pPr>
        <w:pStyle w:val="ListBullet"/>
        <w:spacing w:after="60"/>
      </w:pPr>
      <w:r>
        <w:t>Respeitar a lógica de licenciamento de mercado: agente, usuário, colaborador gerenciado ou ambiente.</w:t>
      </w:r>
    </w:p>
    <w:p>
      <w:pPr>
        <w:pStyle w:val="ListBullet"/>
        <w:spacing w:after="60"/>
      </w:pPr>
      <w:r>
        <w:t>Usar a quantidade de licenças informada para o Olympus apenas quando ela for comparável ao modelo de cobrança externo.</w:t>
      </w:r>
    </w:p>
    <w:p>
      <w:pPr>
        <w:pStyle w:val="ListBullet"/>
        <w:spacing w:after="60"/>
      </w:pPr>
      <w:r>
        <w:t>Não utilizar preço promocional temporário como referência estrutural.</w:t>
      </w:r>
    </w:p>
    <w:p>
      <w:pPr>
        <w:pStyle w:val="ListBullet"/>
        <w:spacing w:after="60"/>
      </w:pPr>
      <w:r>
        <w:t>Aplicar média aritmética simples entre comparáveis.</w:t>
      </w:r>
    </w:p>
    <w:p>
      <w:pPr>
        <w:pStyle w:val="ListBullet"/>
        <w:spacing w:after="60"/>
      </w:pPr>
      <w:r>
        <w:t>Executar teste anual de arquitetura externa racional para remover dupla contagem entre suites.</w:t>
      </w:r>
    </w:p>
    <w:p>
      <w:r>
        <w:t>Para preços em dólar, utiliza-se a PTAX de venda do último dia útil anterior à data de corte. Nesta versão: R$ 5,2204 por US$ 1, referência de 29/09/2026.</w:t>
      </w:r>
    </w:p>
    <w:p>
      <w:pPr>
        <w:pStyle w:val="Heading1"/>
      </w:pPr>
      <w:r>
        <w:t>7. Benchmark modular bruto por frente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</w:trPr>
        <w:tc>
          <w:tcPr>
            <w:tcW w:type="dxa" w:w="208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Frente</w:t>
            </w:r>
          </w:p>
        </w:tc>
        <w:tc>
          <w:tcPr>
            <w:tcW w:type="dxa" w:w="453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Comparáveis</w:t>
            </w:r>
          </w:p>
        </w:tc>
        <w:tc>
          <w:tcPr>
            <w:tcW w:type="dxa" w:w="165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Base</w:t>
            </w:r>
          </w:p>
        </w:tc>
        <w:tc>
          <w:tcPr>
            <w:tcW w:type="dxa" w:w="1584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Mensal</w:t>
            </w:r>
          </w:p>
        </w:tc>
        <w:tc>
          <w:tcPr>
            <w:tcW w:type="dxa" w:w="1584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5"/>
              </w:rPr>
              <w:t>Anual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R|Tickets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Jira Service Management US$20 + Freshservice US$19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2 agentes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R$ 203,60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R$ 2.443,20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Data Room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DocSend US$180 + FirmRoom US$395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por ambiente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R$ 1.500,87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R$ 18.010,44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Base de Clientes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Zoho US$14 + Pipedrive US$14 + monday CRM US$12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38 usuários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R$ 2.645,00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R$ 31.740,00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Gestão de Acesso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Okta US$6 + Entra P1 R$40,10 + JumpCloud US$11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38 identidades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R$ 1.632,06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R$ 19.584,72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Vaultwarden / Cofre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Bitwarden US$4 + 1Password US$8,99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38 usuários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R$ 1.288,45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R$ 15.461,40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Gestão de Pessoas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Factorial R$10,30 + Convenia R$16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38 colaboradores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R$ 499,70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R$ 5.996,40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Projetos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Asana US$10,99 + ClickUp US$12 + monday US$12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38 usuários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R$ 2.313,72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R$ 27.764,64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Gestão do Conhecimento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Confluence US$5,42 + Notion US$10</w:t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38 usuários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R$ 1.529,47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R$ 18.353,64</w:t>
            </w:r>
          </w:p>
        </w:tc>
      </w:tr>
      <w:tr>
        <w:tc>
          <w:tcPr>
            <w:tcW w:type="dxa" w:w="208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5"/>
              </w:rPr>
              <w:t>TOTAL</w:t>
            </w:r>
          </w:p>
        </w:tc>
        <w:tc>
          <w:tcPr>
            <w:tcW w:type="dxa" w:w="453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</w:r>
          </w:p>
        </w:tc>
        <w:tc>
          <w:tcPr>
            <w:tcW w:type="dxa" w:w="165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R$ 11.612,87</w:t>
            </w:r>
          </w:p>
        </w:tc>
        <w:tc>
          <w:tcPr>
            <w:tcW w:type="dxa" w:w="158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5"/>
              </w:rPr>
              <w:t>R$ 139.354,44</w:t>
            </w:r>
          </w:p>
        </w:tc>
      </w:tr>
    </w:tbl>
    <w:p>
      <w:pPr>
        <w:pStyle w:val="SmallNote"/>
      </w:pPr>
    </w:p>
    <w:p>
      <w:pPr>
        <w:pStyle w:val="Heading1"/>
      </w:pPr>
      <w:r>
        <w:t>8. Indicadores econômicos derivados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592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3312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Fórmula</w:t>
            </w:r>
          </w:p>
        </w:tc>
        <w:tc>
          <w:tcPr>
            <w:tcW w:type="dxa" w:w="2232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Resultado</w:t>
            </w:r>
          </w:p>
        </w:tc>
        <w:tc>
          <w:tcPr>
            <w:tcW w:type="dxa" w:w="3024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Interpretação</w:t>
            </w:r>
          </w:p>
        </w:tc>
      </w:tr>
      <w:tr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Benchmark modular bruto anual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Σ benchmarks mensais × 12</w:t>
            </w:r>
          </w:p>
        </w:tc>
        <w:tc>
          <w:tcPr>
            <w:tcW w:type="dxa" w:w="22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R$ 139.354,44</w:t>
            </w:r>
          </w:p>
        </w:tc>
        <w:tc>
          <w:tcPr>
            <w:tcW w:type="dxa" w:w="30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Custo externo equivalente bruto das oito frentes</w:t>
            </w:r>
          </w:p>
        </w:tc>
      </w:tr>
      <w:tr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Valor econômico líquido equivalente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Benchmark anual - TCO tecnológico direto</w:t>
            </w:r>
          </w:p>
        </w:tc>
        <w:tc>
          <w:tcPr>
            <w:tcW w:type="dxa" w:w="22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R$ 136.654,44</w:t>
            </w:r>
          </w:p>
        </w:tc>
        <w:tc>
          <w:tcPr>
            <w:tcW w:type="dxa" w:w="30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Diferença equivalente antes do custo de pessoas</w:t>
            </w:r>
          </w:p>
        </w:tc>
      </w:tr>
      <w:tr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Índice de eficiência tecnológica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Benchmark anual ÷ TCO tecnológico anual</w:t>
            </w:r>
          </w:p>
        </w:tc>
        <w:tc>
          <w:tcPr>
            <w:tcW w:type="dxa" w:w="22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51,61x</w:t>
            </w:r>
          </w:p>
        </w:tc>
        <w:tc>
          <w:tcPr>
            <w:tcW w:type="dxa" w:w="30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Cada R$1 de custo direto sustenta ~R$51,61 em benchmark externo</w:t>
            </w:r>
          </w:p>
        </w:tc>
      </w:tr>
      <w:tr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TCO direto / benchmark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TCO anual ÷ benchmark anual</w:t>
            </w:r>
          </w:p>
        </w:tc>
        <w:tc>
          <w:tcPr>
            <w:tcW w:type="dxa" w:w="22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1,94%</w:t>
            </w:r>
          </w:p>
        </w:tc>
        <w:tc>
          <w:tcPr>
            <w:tcW w:type="dxa" w:w="30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Parcela do benchmark consumida pelo custo tecnológico direto</w:t>
            </w:r>
          </w:p>
        </w:tc>
      </w:tr>
      <w:tr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TCO por colaborador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R$225 ÷ 38</w:t>
            </w:r>
          </w:p>
        </w:tc>
        <w:tc>
          <w:tcPr>
            <w:tcW w:type="dxa" w:w="22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R$ 5,92/mês</w:t>
            </w:r>
          </w:p>
        </w:tc>
        <w:tc>
          <w:tcPr>
            <w:tcW w:type="dxa" w:w="30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Custo direto mensal por colaborador</w:t>
            </w:r>
          </w:p>
        </w:tc>
      </w:tr>
      <w:tr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Benchmark por colaborador</w:t>
            </w:r>
          </w:p>
        </w:tc>
        <w:tc>
          <w:tcPr>
            <w:tcW w:type="dxa" w:w="331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R$11.612,86 ÷ 38</w:t>
            </w:r>
          </w:p>
        </w:tc>
        <w:tc>
          <w:tcPr>
            <w:tcW w:type="dxa" w:w="223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R$ 305,60/mês</w:t>
            </w:r>
          </w:p>
        </w:tc>
        <w:tc>
          <w:tcPr>
            <w:tcW w:type="dxa" w:w="302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Capacidade tecnológica equivalente por colaborador</w:t>
            </w:r>
          </w:p>
        </w:tc>
      </w:tr>
    </w:tbl>
    <w:p>
      <w:pPr>
        <w:pStyle w:val="SmallNote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6F0E4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80"/>
            </w:pPr>
            <w:r>
              <w:rPr>
                <w:b/>
                <w:color w:val="7A5A12"/>
                <w:sz w:val="21"/>
              </w:rPr>
              <w:t>NÃO CHAMAR DE ROI FINANCEIRO REALIZADO</w:t>
            </w:r>
          </w:p>
          <w:p>
            <w:pPr>
              <w:spacing w:after="0"/>
            </w:pPr>
            <w:r>
              <w:rPr>
                <w:sz w:val="19"/>
              </w:rPr>
              <w:t>O cálculo indicativo (benchmark - custo) ÷ custo produziria aproximadamente 5,061%, mas o numerador é benchmark contrafactual, não fluxo de caixa comprovadamente economizado, Para apresentação societária, o indicador preferível é o índice de eficiência tecnológica de 51,6x,</w:t>
            </w:r>
          </w:p>
        </w:tc>
      </w:tr>
    </w:tbl>
    <w:p>
      <w:pPr>
        <w:pStyle w:val="SmallNote"/>
      </w:pPr>
    </w:p>
    <w:p>
      <w:pPr>
        <w:pStyle w:val="Heading1"/>
      </w:pPr>
      <w:r>
        <w:t>9. Valor externo equivalente acumulado desde os go-lives conhecidos</w:t>
      </w:r>
    </w:p>
    <w:p>
      <w:r>
        <w:t>O acumulado não é denominado saving realizado. Ele mostra quanto as soluções externas comparáveis representariam, proporcionalmente, desde a entrada em produção de cada módulo com data exata conhecida. Regra: valor anual equivalente ÷ 365 × dias em produção, incluindo go-live e data de corte.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rPr>
          <w:tblHeader w:val="true"/>
        </w:trPr>
        <w:tc>
          <w:tcPr>
            <w:tcW w:type="dxa" w:w="288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Módulo</w:t>
            </w:r>
          </w:p>
        </w:tc>
        <w:tc>
          <w:tcPr>
            <w:tcW w:type="dxa" w:w="216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Go-live</w:t>
            </w:r>
          </w:p>
        </w:tc>
        <w:tc>
          <w:tcPr>
            <w:tcW w:type="dxa" w:w="1152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Dias</w:t>
            </w:r>
          </w:p>
        </w:tc>
        <w:tc>
          <w:tcPr>
            <w:tcW w:type="dxa" w:w="417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Valor externo equivalente acumulado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Data Room</w:t>
            </w:r>
          </w:p>
        </w:tc>
        <w:tc>
          <w:tcPr>
            <w:tcW w:type="dxa" w:w="21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17/09/2025</w:t>
            </w:r>
          </w:p>
        </w:tc>
        <w:tc>
          <w:tcPr>
            <w:tcW w:type="dxa" w:w="11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379</w:t>
            </w:r>
          </w:p>
        </w:tc>
        <w:tc>
          <w:tcPr>
            <w:tcW w:type="dxa" w:w="41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R$ 18.701,19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Gestão de Acesso</w:t>
            </w:r>
          </w:p>
        </w:tc>
        <w:tc>
          <w:tcPr>
            <w:tcW w:type="dxa" w:w="21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07/05/2026</w:t>
            </w:r>
          </w:p>
        </w:tc>
        <w:tc>
          <w:tcPr>
            <w:tcW w:type="dxa" w:w="11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147</w:t>
            </w:r>
          </w:p>
        </w:tc>
        <w:tc>
          <w:tcPr>
            <w:tcW w:type="dxa" w:w="41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R$ 7.887,54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R|Tickets</w:t>
            </w:r>
          </w:p>
        </w:tc>
        <w:tc>
          <w:tcPr>
            <w:tcW w:type="dxa" w:w="21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24/07/2026</w:t>
            </w:r>
          </w:p>
        </w:tc>
        <w:tc>
          <w:tcPr>
            <w:tcW w:type="dxa" w:w="11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69</w:t>
            </w:r>
          </w:p>
        </w:tc>
        <w:tc>
          <w:tcPr>
            <w:tcW w:type="dxa" w:w="41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R$ 461,86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Base de Clientes</w:t>
            </w:r>
          </w:p>
        </w:tc>
        <w:tc>
          <w:tcPr>
            <w:tcW w:type="dxa" w:w="21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03/09/2026</w:t>
            </w:r>
          </w:p>
        </w:tc>
        <w:tc>
          <w:tcPr>
            <w:tcW w:type="dxa" w:w="11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28</w:t>
            </w:r>
          </w:p>
        </w:tc>
        <w:tc>
          <w:tcPr>
            <w:tcW w:type="dxa" w:w="41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R$ 2.434,85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TOTAL</w:t>
            </w:r>
          </w:p>
        </w:tc>
        <w:tc>
          <w:tcPr>
            <w:tcW w:type="dxa" w:w="216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</w:r>
          </w:p>
        </w:tc>
        <w:tc>
          <w:tcPr>
            <w:tcW w:type="dxa" w:w="115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</w:r>
          </w:p>
        </w:tc>
        <w:tc>
          <w:tcPr>
            <w:tcW w:type="dxa" w:w="417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R$ 29.485,44</w:t>
            </w:r>
          </w:p>
        </w:tc>
      </w:tr>
    </w:tbl>
    <w:p>
      <w:pPr>
        <w:pStyle w:val="SmallNote"/>
      </w:pPr>
    </w:p>
    <w:p>
      <w:r>
        <w:t>Vaultwarden, Gestão de Pessoas, Projetos e Gestão do Conhecimento entram no run-rate atual, mas não recebem valor histórico retroativo sem data de go-live comprovada.</w:t>
      </w:r>
    </w:p>
    <w:p>
      <w:pPr>
        <w:pStyle w:val="Heading1"/>
      </w:pPr>
      <w:r>
        <w:t>10. Run-rate do quarto trimestre de 2026</w:t>
      </w:r>
    </w:p>
    <w:p>
      <w:r>
        <w:t>Como as oito frentes avaliadas estão em operação em 30/09/2026, a continuidade do benchmark modular bruto por outubro, novembro e dezembro corresponde a R$ 34.838,61. Esse valor é uma projeção linear de custo externo equivalente e não uma previsão de caixa economizado.</w:t>
      </w:r>
    </w:p>
    <w:p>
      <w:pPr>
        <w:pStyle w:val="Heading1"/>
      </w:pPr>
      <w:r>
        <w:t>11. Indicadores estratégicos para os sócios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288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Indicador</w:t>
            </w:r>
          </w:p>
        </w:tc>
        <w:tc>
          <w:tcPr>
            <w:tcW w:type="dxa" w:w="2592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Status em 30/09/26</w:t>
            </w:r>
          </w:p>
        </w:tc>
        <w:tc>
          <w:tcPr>
            <w:tcW w:type="dxa" w:w="4896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Por que importa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Custo tecnológico direto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R$ 225,00/mês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Mostra quanto a plataforma efetivamente consome em infraestrutura conhecida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Benchmark modular bruto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R$ 139.354,44/ano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Dimensiona capacidade tecnológica internalizada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Índice de eficiência tecnológica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51,6x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Compara capacidade equivalente com custo direto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Valor equivalente acumulado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R$ 29.485,44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Mostra evolução desde go-lives com data conhecida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Adoção por módulo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A instrumentar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Distingue capacidade instalada de capacidade realmente usada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Cobertura operacional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A instrumentar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Mede centralização real dos processos no Olympus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Horas liberadas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A medir com baseline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Mensura produtividade sem confundir com saving</w:t>
            </w:r>
          </w:p>
        </w:tc>
      </w:tr>
      <w:tr>
        <w:tc>
          <w:tcPr>
            <w:tcW w:type="dxa" w:w="288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TCO econômico completo</w:t>
            </w:r>
          </w:p>
        </w:tc>
        <w:tc>
          <w:tcPr>
            <w:tcW w:type="dxa" w:w="259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A apurar</w:t>
            </w:r>
          </w:p>
        </w:tc>
        <w:tc>
          <w:tcPr>
            <w:tcW w:type="dxa" w:w="4896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Incluirá dedicação do time e permitirá análise econômica mais completa</w:t>
            </w:r>
          </w:p>
        </w:tc>
      </w:tr>
    </w:tbl>
    <w:p>
      <w:pPr>
        <w:pStyle w:val="SmallNote"/>
      </w:pPr>
    </w:p>
    <w:p>
      <w:pPr>
        <w:pStyle w:val="Heading1"/>
      </w:pPr>
      <w:r>
        <w:t>12. Controles contra mascaramento, viés e superavaliação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324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Risco</w:t>
            </w:r>
          </w:p>
        </w:tc>
        <w:tc>
          <w:tcPr>
            <w:tcW w:type="dxa" w:w="712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Controle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Cherry-picking de fornecedores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mínimo de 2 comparáveis; justificativa funcional; substituições versionadas.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Licenças superdimensionadas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reconciliar usuários elegíveis, ativos e licença externa efetivamente necessária.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Dupla contagem entre suites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executar arquitetura substituta racional e ajustar o total consolidado.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Preço promocional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usar preço estrutural, não desconto temporário.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Câmbio oportunista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PTAX com política fixa de fechamento.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Go-live antecipado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exigir deploy/log/primeiro uso/ticket ou evidência operacional equivalente.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Retroatividade sem evidência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sem data comprovada, módulo entra no run-rate, não no acumulado.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Produtividade estimada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horas só entram após baseline antes/depois e amostragem do volume.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Risco monetizado arbitrariamente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manter risco em indicadores operacionais até haver técnica de mensuração sustentada.</w:t>
            </w:r>
          </w:p>
        </w:tc>
      </w:tr>
      <w:tr>
        <w:tc>
          <w:tcPr>
            <w:tcW w:type="dxa" w:w="324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Hardcode em dashboard</w:t>
            </w:r>
          </w:p>
        </w:tc>
        <w:tc>
          <w:tcPr>
            <w:tcW w:type="dxa" w:w="71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camada visual deve consumir base calculada/versionada; não redigitar indicadores manualmente.</w:t>
            </w:r>
          </w:p>
        </w:tc>
      </w:tr>
    </w:tbl>
    <w:p>
      <w:pPr>
        <w:pStyle w:val="SmallNote"/>
      </w:pPr>
    </w:p>
    <w:p>
      <w:pPr>
        <w:pStyle w:val="Heading1"/>
      </w:pPr>
      <w:r>
        <w:t>13. Procedimento para tirar a prova dos números</w:t>
      </w:r>
    </w:p>
    <w:p>
      <w:pPr>
        <w:ind w:left="173"/>
      </w:pPr>
      <w:r>
        <w:rPr>
          <w:b/>
        </w:rPr>
        <w:t xml:space="preserve">1. </w:t>
      </w:r>
      <w:r>
        <w:t>Congelar a data-base e registrar a versão do fechamento.</w:t>
      </w:r>
    </w:p>
    <w:p>
      <w:pPr>
        <w:ind w:left="173"/>
      </w:pPr>
      <w:r>
        <w:rPr>
          <w:b/>
        </w:rPr>
        <w:t xml:space="preserve">2. </w:t>
      </w:r>
      <w:r>
        <w:t>Extrair headcount, usuários e perfis diretamente das bases oficiais.</w:t>
      </w:r>
    </w:p>
    <w:p>
      <w:pPr>
        <w:ind w:left="173"/>
      </w:pPr>
      <w:r>
        <w:rPr>
          <w:b/>
        </w:rPr>
        <w:t xml:space="preserve">3. </w:t>
      </w:r>
      <w:r>
        <w:t>Reconciliar os 38 colaboradores e os perfis informados por módulo.</w:t>
      </w:r>
    </w:p>
    <w:p>
      <w:pPr>
        <w:ind w:left="173"/>
      </w:pPr>
      <w:r>
        <w:rPr>
          <w:b/>
        </w:rPr>
        <w:t xml:space="preserve">4. </w:t>
      </w:r>
      <w:r>
        <w:t>Validar go-live com evidência técnica ou operacional.</w:t>
      </w:r>
    </w:p>
    <w:p>
      <w:pPr>
        <w:ind w:left="173"/>
      </w:pPr>
      <w:r>
        <w:rPr>
          <w:b/>
        </w:rPr>
        <w:t xml:space="preserve">5. </w:t>
      </w:r>
      <w:r>
        <w:t>Capturar os preços oficiais utilizados e arquivar URL/data.</w:t>
      </w:r>
    </w:p>
    <w:p>
      <w:pPr>
        <w:ind w:left="173"/>
      </w:pPr>
      <w:r>
        <w:rPr>
          <w:b/>
        </w:rPr>
        <w:t xml:space="preserve">6. </w:t>
      </w:r>
      <w:r>
        <w:t>Confirmar a PTAX conforme política definida.</w:t>
      </w:r>
    </w:p>
    <w:p>
      <w:pPr>
        <w:ind w:left="173"/>
      </w:pPr>
      <w:r>
        <w:rPr>
          <w:b/>
        </w:rPr>
        <w:t xml:space="preserve">7. </w:t>
      </w:r>
      <w:r>
        <w:t>Reexecutar todas as fórmulas em memória de cálculo independente.</w:t>
      </w:r>
    </w:p>
    <w:p>
      <w:pPr>
        <w:ind w:left="173"/>
      </w:pPr>
      <w:r>
        <w:rPr>
          <w:b/>
        </w:rPr>
        <w:t xml:space="preserve">8. </w:t>
      </w:r>
      <w:r>
        <w:t>Executar teste de sobreposição funcional entre suites externas.</w:t>
      </w:r>
    </w:p>
    <w:p>
      <w:pPr>
        <w:ind w:left="173"/>
      </w:pPr>
      <w:r>
        <w:rPr>
          <w:b/>
        </w:rPr>
        <w:t xml:space="preserve">9. </w:t>
      </w:r>
      <w:r>
        <w:t>Comparar os resultados com a versão anterior e explicar toda variação material.</w:t>
      </w:r>
    </w:p>
    <w:p>
      <w:pPr>
        <w:ind w:left="173"/>
      </w:pPr>
      <w:r>
        <w:rPr>
          <w:b/>
        </w:rPr>
        <w:t xml:space="preserve">10. </w:t>
      </w:r>
      <w:r>
        <w:t>Fazer revisão por pessoa diferente de quem preparou a base.</w:t>
      </w:r>
    </w:p>
    <w:p>
      <w:pPr>
        <w:ind w:left="173"/>
      </w:pPr>
      <w:r>
        <w:rPr>
          <w:b/>
        </w:rPr>
        <w:t xml:space="preserve">11. </w:t>
      </w:r>
      <w:r>
        <w:t>Arquivar fontes, evidências, cálculo e versão aprovada.</w:t>
      </w:r>
    </w:p>
    <w:p>
      <w:pPr>
        <w:pStyle w:val="Heading1"/>
      </w:pPr>
      <w:r>
        <w:t>14. Teste obrigatório de arquitetura externa racional</w:t>
      </w:r>
    </w:p>
    <w:p>
      <w:r>
        <w:t>O benchmark modular bruto é útil para mensurar cada capacidade isoladamente, mas não deve ser tratado automaticamente como custo consolidado que o escritório necessariamente incorreria. Suites podem absorver mais de uma função.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2EFF0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80"/>
            </w:pPr>
            <w:r>
              <w:rPr>
                <w:b/>
                <w:color w:val="7B2231"/>
                <w:sz w:val="21"/>
              </w:rPr>
              <w:t>PERGUNTA DE CONTROLE</w:t>
            </w:r>
          </w:p>
          <w:p>
            <w:pPr>
              <w:spacing w:after="0"/>
            </w:pPr>
            <w:r>
              <w:rPr>
                <w:sz w:val="19"/>
              </w:rPr>
              <w:t>Se o Olympus deixasse de existir amanhã, qual seria a combinação mínima e racional de sistemas externos capaz de reproduzir aproximadamente as mesmas capacidades para as quantidades de usuários informadas?</w:t>
            </w:r>
          </w:p>
        </w:tc>
      </w:tr>
    </w:tbl>
    <w:p>
      <w:pPr>
        <w:pStyle w:val="SmallNote"/>
      </w:pPr>
    </w:p>
    <w:p>
      <w:r>
        <w:t>Exemplos de sobreposição a revisar: soluções de identidade podem incluir password management; suites de colaboração podem incluir knowledge, projetos e workflows; CRMs podem incluir atividades e projetos. O benchmark consolidado deve ser limitado ao custo da arquitetura externa racional se este for inferior à soma modular.</w:t>
      </w:r>
    </w:p>
    <w:p>
      <w:pPr>
        <w:pStyle w:val="Heading1"/>
      </w:pPr>
      <w:r>
        <w:t>15. Próxima camada de mensuração: uso, produtividade e maturidade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</w:trPr>
        <w:tc>
          <w:tcPr>
            <w:tcW w:type="dxa" w:w="172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Dimensão</w:t>
            </w:r>
          </w:p>
        </w:tc>
        <w:tc>
          <w:tcPr>
            <w:tcW w:type="dxa" w:w="4464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Indicador recomendado</w:t>
            </w:r>
          </w:p>
        </w:tc>
        <w:tc>
          <w:tcPr>
            <w:tcW w:type="dxa" w:w="432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Regra</w:t>
            </w:r>
          </w:p>
        </w:tc>
      </w:tr>
      <w:tr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Adoção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usuários ativos 30 dias ÷ usuários elegíveis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não confundir usuário cadastrado com uso real</w:t>
            </w:r>
          </w:p>
        </w:tc>
      </w:tr>
      <w:tr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Cobertura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processos executados no Olympus ÷ processos elegíveis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mede centralização operacional</w:t>
            </w:r>
          </w:p>
        </w:tc>
      </w:tr>
      <w:tr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Produtividade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tempo antes - tempo depois × volume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reportar primeiro como capacidade liberada</w:t>
            </w:r>
          </w:p>
        </w:tc>
      </w:tr>
      <w:tr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Qualidade de dados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registros completos/corretos ÷ base total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usar regras de validação e exceção</w:t>
            </w:r>
          </w:p>
        </w:tc>
      </w:tr>
      <w:tr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SLA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itens dentro do SLA ÷ itens concluídos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segmentar por tipo e criticidade</w:t>
            </w:r>
          </w:p>
        </w:tc>
      </w:tr>
      <w:tr>
        <w:tc>
          <w:tcPr>
            <w:tcW w:type="dxa" w:w="172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Maturidade digital</w:t>
            </w:r>
          </w:p>
        </w:tc>
        <w:tc>
          <w:tcPr>
            <w:tcW w:type="dxa" w:w="4464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processos com owner, SLA, dado, risco e rotina de revisão</w:t>
            </w:r>
          </w:p>
        </w:tc>
        <w:tc>
          <w:tcPr>
            <w:tcW w:type="dxa" w:w="432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criar índice apenas depois de medir componentes objetivos</w:t>
            </w:r>
          </w:p>
        </w:tc>
      </w:tr>
    </w:tbl>
    <w:p>
      <w:pPr>
        <w:pStyle w:val="SmallNote"/>
      </w:pPr>
    </w:p>
    <w:p>
      <w:pPr>
        <w:pStyle w:val="Heading1"/>
      </w:pPr>
      <w:r>
        <w:t>16. Governança e fechamento mensal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</w:trPr>
        <w:tc>
          <w:tcPr>
            <w:tcW w:type="dxa" w:w="3168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Papel</w:t>
            </w:r>
          </w:p>
        </w:tc>
        <w:tc>
          <w:tcPr>
            <w:tcW w:type="dxa" w:w="7200"/>
            <w:shd w:fill="111318"/>
            <w:tcMar>
              <w:top w:w="110" w:type="dxa"/>
              <w:start w:w="100" w:type="dxa"/>
              <w:bottom w:w="11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Responsabilidade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TI</w:t>
            </w:r>
          </w:p>
        </w:tc>
        <w:tc>
          <w:tcPr>
            <w:tcW w:type="dxa" w:w="72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logs, usuários, infraestrutura, disponibilidade e evidências técnicas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Projetos e Melhoria Contínua</w:t>
            </w:r>
          </w:p>
        </w:tc>
        <w:tc>
          <w:tcPr>
            <w:tcW w:type="dxa" w:w="72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processos, escopo, adoção, datas e evidências operacionais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Financeiro / Controladoria</w:t>
            </w:r>
          </w:p>
        </w:tc>
        <w:tc>
          <w:tcPr>
            <w:tcW w:type="dxa" w:w="72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custos reais, câmbio, fórmulas e classificação econômica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Revisor independente da preparação</w:t>
            </w:r>
          </w:p>
        </w:tc>
        <w:tc>
          <w:tcPr>
            <w:tcW w:type="dxa" w:w="72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  <w:shd w:fill="FAFAFA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reexecução, conciliação e teste de consistência</w:t>
            </w:r>
          </w:p>
        </w:tc>
      </w:tr>
      <w:tr>
        <w:tc>
          <w:tcPr>
            <w:tcW w:type="dxa" w:w="3168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color w:val="23252A"/>
                <w:sz w:val="16"/>
              </w:rPr>
              <w:t>Sócios / Diretoria</w:t>
            </w:r>
          </w:p>
        </w:tc>
        <w:tc>
          <w:tcPr>
            <w:tcW w:type="dxa" w:w="7200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color w:val="23252A"/>
                <w:sz w:val="16"/>
              </w:rPr>
              <w:t>aprovação de mudanças metodológicas e leitura executiva</w:t>
            </w:r>
          </w:p>
        </w:tc>
      </w:tr>
    </w:tbl>
    <w:p>
      <w:pPr>
        <w:pStyle w:val="SmallNote"/>
      </w:pPr>
    </w:p>
    <w:p>
      <w:r>
        <w:t>O fechamento deve ser versionado mensalmente, mantendo histórico das alterações metodológicas. Nenhum valor histórico deve ser sobrescrito silenciosamente.</w:t>
      </w:r>
    </w:p>
    <w:p>
      <w:pPr>
        <w:pStyle w:val="Heading1"/>
      </w:pPr>
      <w:r>
        <w:t>17. Conclusão</w:t>
      </w:r>
    </w:p>
    <w:p>
      <w:r>
        <w:t>Na data-base de 30/09/2026, o Olympus possui custo tecnológico direto conhecido de R$ 2,700,00/ano e sustenta um benchmark modular bruto de R$ 139,354,44/ano em capacidade externa equivalente, A diferença equivalente, antes da inclusão do custo de pessoas, é de R$ 136,654,44/ano, e o índice de eficiência tecnológica é de 51,6x,</w:t>
      </w:r>
    </w:p>
    <w:p>
      <w:r>
        <w:t>Para os quatro módulos com go-live exato conhecido, o valor externo equivalente acumulado desde a entrada em produção soma R$ 29.485,44. Esse número não é denominado economia contábil realizada; ele representa a equivalência de mercado no período.</w:t>
      </w:r>
    </w:p>
    <w:p>
      <w:r>
        <w:t>O modelo foi estruturado para ser prudente, reproduzível e questionável. A confiança não decorre de um número alto, mas da capacidade de demonstrar a fonte, a premissa, a quantidade de licenças, a fórmula, a evidência de go-live e a revisão independente de cada componente.</w:t>
      </w:r>
    </w:p>
    <w:p>
      <w:pPr>
        <w:pStyle w:val="Heading1"/>
      </w:pPr>
      <w:r>
        <w:t>18. Fontes públicas de benchmark</w:t>
      </w:r>
    </w:p>
    <w:p>
      <w:pPr>
        <w:spacing w:after="60"/>
      </w:pPr>
      <w:r>
        <w:rPr>
          <w:b/>
        </w:rPr>
        <w:t xml:space="preserve">Atlassian - Jira Service Management: </w:t>
      </w:r>
      <w:r>
        <w:rPr>
          <w:color w:val="464646"/>
          <w:sz w:val="17"/>
        </w:rPr>
        <w:t>https://www.atlassian.com/br/collections/service/pricing</w:t>
      </w:r>
    </w:p>
    <w:p>
      <w:pPr>
        <w:spacing w:after="60"/>
      </w:pPr>
      <w:r>
        <w:rPr>
          <w:b/>
        </w:rPr>
        <w:t xml:space="preserve">Freshworks - Freshservice: </w:t>
      </w:r>
      <w:r>
        <w:rPr>
          <w:color w:val="464646"/>
          <w:sz w:val="17"/>
        </w:rPr>
        <w:t>https://www.freshworks.com/br/freshservice/pricing/</w:t>
      </w:r>
    </w:p>
    <w:p>
      <w:pPr>
        <w:spacing w:after="60"/>
      </w:pPr>
      <w:r>
        <w:rPr>
          <w:b/>
        </w:rPr>
        <w:t xml:space="preserve">DocSend - Pricing: </w:t>
      </w:r>
      <w:r>
        <w:rPr>
          <w:color w:val="464646"/>
          <w:sz w:val="17"/>
        </w:rPr>
        <w:t>https://www.docsend.com/pricing/</w:t>
      </w:r>
    </w:p>
    <w:p>
      <w:pPr>
        <w:spacing w:after="60"/>
      </w:pPr>
      <w:r>
        <w:rPr>
          <w:b/>
        </w:rPr>
        <w:t xml:space="preserve">FirmRoom - Pricing: </w:t>
      </w:r>
      <w:r>
        <w:rPr>
          <w:color w:val="464646"/>
          <w:sz w:val="17"/>
        </w:rPr>
        <w:t>https://firmroom.com/pricing</w:t>
      </w:r>
    </w:p>
    <w:p>
      <w:pPr>
        <w:spacing w:after="60"/>
      </w:pPr>
      <w:r>
        <w:rPr>
          <w:b/>
        </w:rPr>
        <w:t xml:space="preserve">Zoho CRM - Pricing: </w:t>
      </w:r>
      <w:r>
        <w:rPr>
          <w:color w:val="464646"/>
          <w:sz w:val="17"/>
        </w:rPr>
        <w:t>https://www.zoho.com/pt-br/crm/</w:t>
      </w:r>
    </w:p>
    <w:p>
      <w:pPr>
        <w:spacing w:after="60"/>
      </w:pPr>
      <w:r>
        <w:rPr>
          <w:b/>
        </w:rPr>
        <w:t xml:space="preserve">Pipedrive - Pricing: </w:t>
      </w:r>
      <w:r>
        <w:rPr>
          <w:color w:val="464646"/>
          <w:sz w:val="17"/>
        </w:rPr>
        <w:t>https://www.pipedrive.com/pt/pricing</w:t>
      </w:r>
    </w:p>
    <w:p>
      <w:pPr>
        <w:spacing w:after="60"/>
      </w:pPr>
      <w:r>
        <w:rPr>
          <w:b/>
        </w:rPr>
        <w:t xml:space="preserve">monday.com - Pricing: </w:t>
      </w:r>
      <w:r>
        <w:rPr>
          <w:color w:val="464646"/>
          <w:sz w:val="17"/>
        </w:rPr>
        <w:t>https://monday.com/pricing</w:t>
      </w:r>
    </w:p>
    <w:p>
      <w:pPr>
        <w:spacing w:after="60"/>
      </w:pPr>
      <w:r>
        <w:rPr>
          <w:b/>
        </w:rPr>
        <w:t xml:space="preserve">Okta - Pricing: </w:t>
      </w:r>
      <w:r>
        <w:rPr>
          <w:color w:val="464646"/>
          <w:sz w:val="17"/>
        </w:rPr>
        <w:t>https://www.okta.com/pt-br/pricing/</w:t>
      </w:r>
    </w:p>
    <w:p>
      <w:pPr>
        <w:spacing w:after="60"/>
      </w:pPr>
      <w:r>
        <w:rPr>
          <w:b/>
        </w:rPr>
        <w:t xml:space="preserve">Microsoft Entra ID: </w:t>
      </w:r>
      <w:r>
        <w:rPr>
          <w:color w:val="464646"/>
          <w:sz w:val="17"/>
        </w:rPr>
        <w:t>https://www.microsoft.com/pt-br/security/business/identity-access/microsoft-entra-id</w:t>
      </w:r>
    </w:p>
    <w:p>
      <w:pPr>
        <w:spacing w:after="60"/>
      </w:pPr>
      <w:r>
        <w:rPr>
          <w:b/>
        </w:rPr>
        <w:t xml:space="preserve">JumpCloud - Pricing: </w:t>
      </w:r>
      <w:r>
        <w:rPr>
          <w:color w:val="464646"/>
          <w:sz w:val="17"/>
        </w:rPr>
        <w:t>https://jumpcloud.com/pricing</w:t>
      </w:r>
    </w:p>
    <w:p>
      <w:pPr>
        <w:spacing w:after="60"/>
      </w:pPr>
      <w:r>
        <w:rPr>
          <w:b/>
        </w:rPr>
        <w:t xml:space="preserve">Bitwarden Business: </w:t>
      </w:r>
      <w:r>
        <w:rPr>
          <w:color w:val="464646"/>
          <w:sz w:val="17"/>
        </w:rPr>
        <w:t>https://bitwarden.com/pt-br/pricing/business/</w:t>
      </w:r>
    </w:p>
    <w:p>
      <w:pPr>
        <w:spacing w:after="60"/>
      </w:pPr>
      <w:r>
        <w:rPr>
          <w:b/>
        </w:rPr>
        <w:t xml:space="preserve">1Password Business: </w:t>
      </w:r>
      <w:r>
        <w:rPr>
          <w:color w:val="464646"/>
          <w:sz w:val="17"/>
        </w:rPr>
        <w:t>https://1password.com/pricing/business</w:t>
      </w:r>
    </w:p>
    <w:p>
      <w:pPr>
        <w:spacing w:after="60"/>
      </w:pPr>
      <w:r>
        <w:rPr>
          <w:b/>
        </w:rPr>
        <w:t xml:space="preserve">Factorial - Planos e preços: </w:t>
      </w:r>
      <w:r>
        <w:rPr>
          <w:color w:val="464646"/>
          <w:sz w:val="17"/>
        </w:rPr>
        <w:t>https://factorialhr.com.br/planos-e-precos</w:t>
      </w:r>
    </w:p>
    <w:p>
      <w:pPr>
        <w:spacing w:after="60"/>
      </w:pPr>
      <w:r>
        <w:rPr>
          <w:b/>
        </w:rPr>
        <w:t xml:space="preserve">Convenia - Planos: </w:t>
      </w:r>
      <w:r>
        <w:rPr>
          <w:color w:val="464646"/>
          <w:sz w:val="17"/>
        </w:rPr>
        <w:t>https://www.convenia.com.br/planos-convenia</w:t>
      </w:r>
    </w:p>
    <w:p>
      <w:pPr>
        <w:spacing w:after="60"/>
      </w:pPr>
      <w:r>
        <w:rPr>
          <w:b/>
        </w:rPr>
        <w:t xml:space="preserve">Asana - Pricing: </w:t>
      </w:r>
      <w:r>
        <w:rPr>
          <w:color w:val="464646"/>
          <w:sz w:val="17"/>
        </w:rPr>
        <w:t>https://asana.com/pricing</w:t>
      </w:r>
    </w:p>
    <w:p>
      <w:pPr>
        <w:spacing w:after="60"/>
      </w:pPr>
      <w:r>
        <w:rPr>
          <w:b/>
        </w:rPr>
        <w:t xml:space="preserve">ClickUp - Pricing: </w:t>
      </w:r>
      <w:r>
        <w:rPr>
          <w:color w:val="464646"/>
          <w:sz w:val="17"/>
        </w:rPr>
        <w:t>https://clickup.com/pricing</w:t>
      </w:r>
    </w:p>
    <w:p>
      <w:pPr>
        <w:spacing w:after="60"/>
      </w:pPr>
      <w:r>
        <w:rPr>
          <w:b/>
        </w:rPr>
        <w:t xml:space="preserve">Confluence - Pricing: </w:t>
      </w:r>
      <w:r>
        <w:rPr>
          <w:color w:val="464646"/>
          <w:sz w:val="17"/>
        </w:rPr>
        <w:t>https://www.atlassian.com/en/software/confluence/pricing</w:t>
      </w:r>
    </w:p>
    <w:p>
      <w:pPr>
        <w:spacing w:after="60"/>
      </w:pPr>
      <w:r>
        <w:rPr>
          <w:b/>
        </w:rPr>
        <w:t xml:space="preserve">Notion - Pricing: </w:t>
      </w:r>
      <w:r>
        <w:rPr>
          <w:color w:val="464646"/>
          <w:sz w:val="17"/>
        </w:rPr>
        <w:t>https://www.notion.com/pricing</w:t>
      </w:r>
    </w:p>
    <w:p>
      <w:pPr>
        <w:spacing w:after="60"/>
      </w:pPr>
      <w:r>
        <w:rPr>
          <w:b/>
        </w:rPr>
        <w:t xml:space="preserve">Banco Central do Brasil - PTAX: </w:t>
      </w:r>
      <w:r>
        <w:rPr>
          <w:color w:val="464646"/>
          <w:sz w:val="17"/>
        </w:rPr>
        <w:t>https://ptax.bcb.gov.br/</w:t>
      </w:r>
    </w:p>
    <w:p>
      <w:pPr>
        <w:spacing w:after="60"/>
      </w:pPr>
      <w:r>
        <w:rPr>
          <w:b/>
        </w:rPr>
        <w:t xml:space="preserve">Olympus - apresentação atual: </w:t>
      </w:r>
      <w:r>
        <w:rPr>
          <w:color w:val="464646"/>
          <w:sz w:val="17"/>
        </w:rPr>
        <w:t>https://holympus.rfonseca.adv.br/</w:t>
      </w:r>
    </w:p>
    <w:p>
      <w:pPr>
        <w:pStyle w:val="SmallNote"/>
      </w:pPr>
      <w:r>
        <w:br/>
        <w:t>Versão metodológica: 2.0 | Data-base: 30/09/2026 | Documento interno R|FONSECA</w:t>
      </w:r>
    </w:p>
    <w:sectPr w:rsidR="00FC693F" w:rsidRPr="0006063C" w:rsidSect="00034616"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 w:eastAsia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01114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7B223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34373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Aptos Display" w:hAnsi="Aptos Display" w:eastAsia="Aptos Display"/>
      <w:color w:val="101114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ptos" w:hAnsi="Aptos"/>
      <w:color w:val="64676E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